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№4 ТӘЖІРИБЕЛІК ЖҰМЫС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«АВТОКӨЛІКТЕН БОЛАТЫН ЛАСТАУШЫ ЗАТТАРДЫҢ ШЫҒАРЫЛУЫНЫҢ ТӨЛЕМІН АНЫҚТАУ»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b/>
          <w:sz w:val="28"/>
          <w:szCs w:val="28"/>
          <w:lang w:val="kk-KZ"/>
        </w:rPr>
        <w:t>4.1 Жұмыстың мақсаты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Автокөліктен болатын ластаушы заттардың шығарылуының төлемін ақысын анықтауды үйрену.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b/>
          <w:sz w:val="28"/>
          <w:szCs w:val="28"/>
          <w:lang w:val="kk-KZ"/>
        </w:rPr>
        <w:t>4.2 Жұмыстың міндеті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Есептеу әдістемесін меңгеру.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Төлемақы автокөлік құралдарын өндірушілер (АКҚ),АКҚ жөндеу және пайдалануға беруді жүзеге асыратын ұйымдар, және де автомобильдердің жеке иелері үшін тағайындалады.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Төлемдер рұқсат етілген шығарылуға (қолданыстағы стандарттар шегінде) және рұқсат етілген шығаруларды асырып жіберуге тағайындалады./6,7/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Рұқсат етілген шығарылудың төлем нормативін (қолданыстағы стандарттар шегінде) жоспарлы уақытта келесі өрнекпен анықтайды: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                        </w:t>
      </w:r>
      <w:r w:rsidRPr="008164DE">
        <w:rPr>
          <w:rFonts w:ascii="Times New Roman" w:eastAsia="Calibri" w:hAnsi="Times New Roman" w:cs="Times New Roman"/>
          <w:position w:val="-12"/>
          <w:sz w:val="28"/>
          <w:szCs w:val="28"/>
          <w:lang w:val="kk-KZ"/>
        </w:rPr>
        <w:object w:dxaOrig="20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.4pt;height:18.25pt" o:ole="">
            <v:imagedata r:id="rId5" o:title=""/>
          </v:shape>
          <o:OLEObject Type="Embed" ProgID="Equation.3" ShapeID="_x0000_i1025" DrawAspect="Content" ObjectID="_1615631941" r:id="rId6"/>
        </w:objec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                   (4.1)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мұндағы, P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ti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-АКҚ ластаушы заттарды рұқсат етілген шығарылуға төлем нормативтері, руб/л пайдаланылатын жағар май (сом/м</w:t>
      </w:r>
      <w:r w:rsidRPr="008164DE">
        <w:rPr>
          <w:rFonts w:ascii="Times New Roman" w:eastAsia="Calibri" w:hAnsi="Times New Roman" w:cs="Times New Roman"/>
          <w:sz w:val="28"/>
          <w:szCs w:val="28"/>
          <w:vertAlign w:val="superscript"/>
          <w:lang w:val="kk-KZ"/>
        </w:rPr>
        <w:t>3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газ тәріздес отын).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q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 xml:space="preserve">ti 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- қоршаған ортаға АКҚ келтірілген шығынның өтемақысы үшін қажетті t жылындағы жұмсалған қаражаттың (З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ti</w:t>
      </w:r>
      <w:r w:rsidRPr="008164DE">
        <w:rPr>
          <w:rFonts w:ascii="Times New Roman" w:eastAsia="Calibri" w:hAnsi="Times New Roman" w:cs="Times New Roman"/>
          <w:sz w:val="28"/>
          <w:szCs w:val="28"/>
          <w:vertAlign w:val="superscript"/>
          <w:lang w:val="kk-KZ"/>
        </w:rPr>
        <w:t>c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) АКҚ і-ші тобы бойынша ластаушы заттардың (M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ti</w:t>
      </w:r>
      <w:r w:rsidRPr="008164DE">
        <w:rPr>
          <w:rFonts w:ascii="Times New Roman" w:eastAsia="Calibri" w:hAnsi="Times New Roman" w:cs="Times New Roman"/>
          <w:sz w:val="28"/>
          <w:szCs w:val="28"/>
          <w:vertAlign w:val="superscript"/>
          <w:lang w:val="kk-KZ"/>
        </w:rPr>
        <w:t>c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)  шығарылуының келтірілген массасына қатынасы, руб/шартты т, оның мәні АКҚ әртүрлі тобы үшін 4.1 кестеде келтірілген.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M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ti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– бүкіл аймақ бойынша і-ші топтың АКҚ ластаушы заттар шығарылуының келтірілген массасы шартты т, мына өрнекпен анықталады: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                                </w:t>
      </w:r>
      <w:r w:rsidRPr="008164DE">
        <w:rPr>
          <w:rFonts w:ascii="Times New Roman" w:eastAsia="Calibri" w:hAnsi="Times New Roman" w:cs="Times New Roman"/>
          <w:position w:val="-28"/>
          <w:sz w:val="28"/>
          <w:szCs w:val="28"/>
          <w:lang w:val="en-US"/>
        </w:rPr>
        <w:object w:dxaOrig="1820" w:dyaOrig="700">
          <v:shape id="_x0000_i1026" type="#_x0000_t75" style="width:90.25pt;height:35.5pt" o:ole="">
            <v:imagedata r:id="rId7" o:title=""/>
          </v:shape>
          <o:OLEObject Type="Embed" ProgID="Equation.3" ShapeID="_x0000_i1026" DrawAspect="Content" ObjectID="_1615631942" r:id="rId8"/>
        </w:objec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              (4.2)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мұндағы, m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ij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– АКҚ і-тобы бойынша j-ші ластаушы заттың жылдық шығарылуы, т/жылына;</w:t>
      </w:r>
    </w:p>
    <w:p w:rsidR="008164DE" w:rsidRPr="008164DE" w:rsidRDefault="008164DE" w:rsidP="008164DE">
      <w:pPr>
        <w:spacing w:after="0" w:line="240" w:lineRule="auto"/>
        <w:ind w:left="705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J - атмосфераға шығарылатын ластаушы заттар саны;</w:t>
      </w:r>
    </w:p>
    <w:p w:rsidR="008164DE" w:rsidRPr="008164DE" w:rsidRDefault="008164DE" w:rsidP="008164DE">
      <w:pPr>
        <w:spacing w:after="0" w:line="240" w:lineRule="auto"/>
        <w:ind w:left="705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k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i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- і-ші ластаушы заттың салыстырмалы қауіптілігін ескеретін келтіру коэффициенті, төмендегі өрнекпен анықталады: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                                    </w:t>
      </w:r>
      <w:r w:rsidRPr="008164DE">
        <w:rPr>
          <w:rFonts w:ascii="Times New Roman" w:eastAsia="Calibri" w:hAnsi="Times New Roman" w:cs="Times New Roman"/>
          <w:position w:val="-30"/>
          <w:sz w:val="28"/>
          <w:szCs w:val="28"/>
          <w:lang w:val="en-US"/>
        </w:rPr>
        <w:object w:dxaOrig="1260" w:dyaOrig="680">
          <v:shape id="_x0000_i1027" type="#_x0000_t75" style="width:62.85pt;height:33.45pt" o:ole="">
            <v:imagedata r:id="rId9" o:title=""/>
          </v:shape>
          <o:OLEObject Type="Embed" ProgID="Equation.3" ShapeID="_x0000_i1027" DrawAspect="Content" ObjectID="_1615631943" r:id="rId10"/>
        </w:objec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                   (4.3)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ab/>
        <w:t>ПДК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і</w:t>
      </w:r>
      <w:r w:rsidRPr="008164DE">
        <w:rPr>
          <w:rFonts w:ascii="Times New Roman" w:eastAsia="Calibri" w:hAnsi="Times New Roman" w:cs="Times New Roman"/>
          <w:sz w:val="28"/>
          <w:szCs w:val="28"/>
          <w:vertAlign w:val="superscript"/>
          <w:lang w:val="kk-KZ"/>
        </w:rPr>
        <w:t>сс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– елді мекеннің ауасындағы ластаушы заттардың ораша тәуліктік шекті рұқсат етілген концентрациясы, мг/м</w:t>
      </w:r>
      <w:r w:rsidRPr="008164DE">
        <w:rPr>
          <w:rFonts w:ascii="Times New Roman" w:eastAsia="Calibri" w:hAnsi="Times New Roman" w:cs="Times New Roman"/>
          <w:sz w:val="28"/>
          <w:szCs w:val="28"/>
          <w:vertAlign w:val="superscript"/>
          <w:lang w:val="kk-KZ"/>
        </w:rPr>
        <w:t>3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;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Q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ti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– t жылында АКҚ і-тобының жағармай шағыны, мың л/жыл (мың м</w:t>
      </w:r>
      <w:r w:rsidRPr="008164DE">
        <w:rPr>
          <w:rFonts w:ascii="Times New Roman" w:eastAsia="Calibri" w:hAnsi="Times New Roman" w:cs="Times New Roman"/>
          <w:sz w:val="28"/>
          <w:szCs w:val="28"/>
          <w:vertAlign w:val="superscript"/>
          <w:lang w:val="kk-KZ"/>
        </w:rPr>
        <w:t>3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/жыл);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Жергілікті басқару органдарының шешімі бойынша ластаушы заттардың рұқсат етілген шығарылуына төлем нормативтері моторлы жанар-жағар май мен жергілікті шарттардың экорномикалық сипаттамасын ескере отырып дифференциалды болуы мүмкін.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Қажетті ақпараттар жоқ болған кезде төлемдер нормативтерін литр бензинге, дизельді жағармайға, сұйытылған мұнай газының немесе табиғи газдың текше метіріне 0,01 сом мөлшерінде тағайындауды ұсынамыз.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 xml:space="preserve">t жылында берілген кәсіпорынның АКҚ ластаушы заттарды рұқсат етілген шығарылуына төлем келесі өрнекпен  анықталады: 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                          </w:t>
      </w:r>
      <w:r w:rsidRPr="008164DE">
        <w:rPr>
          <w:rFonts w:ascii="Times New Roman" w:eastAsia="Calibri" w:hAnsi="Times New Roman" w:cs="Times New Roman"/>
          <w:position w:val="-14"/>
          <w:sz w:val="28"/>
          <w:szCs w:val="28"/>
          <w:lang w:val="kk-KZ"/>
        </w:rPr>
        <w:object w:dxaOrig="2040" w:dyaOrig="400">
          <v:shape id="_x0000_i1028" type="#_x0000_t75" style="width:102.4pt;height:20.3pt" o:ole="">
            <v:imagedata r:id="rId11" o:title=""/>
          </v:shape>
          <o:OLEObject Type="Embed" ProgID="Equation.3" ShapeID="_x0000_i1028" DrawAspect="Content" ObjectID="_1615631944" r:id="rId12"/>
        </w:objec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                 (4.4)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мұндағы, Q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qti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-t жылында берілген кәсіпорындағы АКҚ і-тобына кеткен жағармай шығыны, мың/л (мың/м</w:t>
      </w:r>
      <w:r w:rsidRPr="008164DE">
        <w:rPr>
          <w:rFonts w:ascii="Times New Roman" w:eastAsia="Calibri" w:hAnsi="Times New Roman" w:cs="Times New Roman"/>
          <w:sz w:val="28"/>
          <w:szCs w:val="28"/>
          <w:vertAlign w:val="superscript"/>
          <w:lang w:val="kk-KZ"/>
        </w:rPr>
        <w:t>3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) жылына;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j-әртүрлі жағармаймен жұмыс істейтін АКҚ топтарының саны;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r-әртүрлі үлгідегі аумақтар үшін атмосфералық ауаның ластануының салыстырмалы қауіптілік көрсеткіші, 2 кестені қараңыз. Бұл көрсеткіш тек жанар-жағар майлайтын материалдары қорлар бойынша бөлінетін кәсіпорындарға арналған есептеулерде пайдаланылады, АКҚ басқа иегерлері үшін r=1.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Айыппұл төлемақыларын қолданыстағы стандарттармен бекітілген АКҚ жаңа және қайта қалпына келтірілген қондырғыларының рұқсат етілген шамаларының улағыш сипаттамасы сәйкес келмеген кездегі АКҚ дайындауды, жөндеуді және пайдалануға беруді жүзеге асыратын кәсіпорындарға қолданылады.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Айыппұл төлемақыларының мөлшері кәсіпорынның таза пайда бөлігіне пайызбен тағайындайды, (4.5) өрнегін қараңыз: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               </w:t>
      </w:r>
      <w:r w:rsidRPr="008164DE">
        <w:rPr>
          <w:rFonts w:ascii="Times New Roman" w:eastAsia="Calibri" w:hAnsi="Times New Roman" w:cs="Times New Roman"/>
          <w:position w:val="-24"/>
          <w:sz w:val="28"/>
          <w:szCs w:val="28"/>
          <w:lang w:val="kk-KZ"/>
        </w:rPr>
        <w:object w:dxaOrig="2000" w:dyaOrig="620">
          <v:shape id="_x0000_i1029" type="#_x0000_t75" style="width:99.4pt;height:30.4pt" o:ole="">
            <v:imagedata r:id="rId13" o:title=""/>
          </v:shape>
          <o:OLEObject Type="Embed" ProgID="Equation.3" ShapeID="_x0000_i1029" DrawAspect="Content" ObjectID="_1615631945" r:id="rId14"/>
        </w:objec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мың сом                                         (4.5)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мұндағы, С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і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-өлшемсіз коэффициент;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 xml:space="preserve">       К-кәсіпорындардың өндірістік іс-әрекетіне тәуелді коэффициент;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 xml:space="preserve">       S- улағышы бойынша қолданыстағы стандарттарға сәйкес келмейтін табылған АКҚ үлесі.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К коэффициенті егер кәсіпорынның қаржылық әрекетіне тасымалдаудан түсетін пайда бөлінбесе, көліктік цех кіретін болса,сонымен қатар балансында қызметтік тасымалдауға немесе технологиялық мақсаттарға арналған және тасымалдау қызметін атқармайтын автокөліктер бар кәсіорындарға анықталады.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 xml:space="preserve">                                                       </w:t>
      </w:r>
      <w:r w:rsidRPr="008164DE">
        <w:rPr>
          <w:rFonts w:ascii="Times New Roman" w:eastAsia="Calibri" w:hAnsi="Times New Roman" w:cs="Times New Roman"/>
          <w:position w:val="-30"/>
          <w:sz w:val="28"/>
          <w:szCs w:val="28"/>
          <w:lang w:val="kk-KZ"/>
        </w:rPr>
        <w:object w:dxaOrig="800" w:dyaOrig="680">
          <v:shape id="_x0000_i1030" type="#_x0000_t75" style="width:39.55pt;height:33.45pt" o:ole="">
            <v:imagedata r:id="rId15" o:title=""/>
          </v:shape>
          <o:OLEObject Type="Embed" ProgID="Equation.3" ShapeID="_x0000_i1030" DrawAspect="Content" ObjectID="_1615631946" r:id="rId16"/>
        </w:objec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                                 (4.6)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мұндағы, d-берілген кәсіпорынның  автопаркіне қызмет көрсетуімен айналысатын жөндеуші жұмысшылар, жүргізушілер саны;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d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0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- берілген кәсіпорын жұмысшыларының тізімдегі саны.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Таза тасымалдау қызметін орындайтын кәсіпорындар үшін К клэффициенті 1-ге тең.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 xml:space="preserve">Айыппұл төлемақылар мөлшері улағышы бойынша қолданыстағы стандарттарға сәйкес келетін іріктелген АКҚ үлесіне пропорционалды тағайындалуы керек. 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                                </w:t>
      </w:r>
      <w:r w:rsidRPr="008164DE">
        <w:rPr>
          <w:rFonts w:ascii="Times New Roman" w:eastAsia="Calibri" w:hAnsi="Times New Roman" w:cs="Times New Roman"/>
          <w:position w:val="-62"/>
          <w:sz w:val="28"/>
          <w:szCs w:val="28"/>
          <w:lang w:val="kk-KZ"/>
        </w:rPr>
        <w:object w:dxaOrig="1880" w:dyaOrig="1359">
          <v:shape id="_x0000_i1031" type="#_x0000_t75" style="width:93.3pt;height:67.95pt" o:ole="">
            <v:imagedata r:id="rId17" o:title=""/>
          </v:shape>
          <o:OLEObject Type="Embed" ProgID="Equation.3" ShapeID="_x0000_i1031" DrawAspect="Content" ObjectID="_1615631947" r:id="rId18"/>
        </w:objec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               (4.7)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мұндағы, Q1j - тексерілген партияда пайдаланылған газдарында ластаушы заттарконцентрациясы мөлшерден жоғары болған АКҚ саны, бірлік;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Q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 xml:space="preserve">2j 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– тексеруге ұшыраған АКҚ барлық үлгілерінің (бензинді, дизельді,газды баллонды) саны.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Жеке топтар бойынша (бензинді, дизельді,газды баллонды) бақылауға ұшырайтын АКҚ іріктеуде олардың саны аз болмау керек;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-қарастырылатын топта АКҚ саны 100 бірлікке дейін жететін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кәсіпорындар топтары үшін 30%;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-қарастырылатын топта АКҚ саны 500 бірлікке дейін жететін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кәсіпорындар топтары үшін 20%;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-қарастырылатын топта АКҚ саны 500 бірліктен  жоғары  кәсіпорындар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топтары үшін 10%;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-АКҚ даярлаушы зауыттар мен авто жөндеуші кәсіпорындар үшін бір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кезектегі шығарылатын өнім санынан 15%;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-техникалық қызмет көрсету бекеттері үшін АКҚ кезектік шығарудан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10%.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Ал АКҚ үлесі улағышы бойынша қолданыстағы стандарттағы сәйкес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келмейтін, іріктеуге АКҚ пайдаланушы кәсіпорындар үшін 30% және даярлаушы зауыттар үшін 10% артатын жағдайда, іріктелген АКҚ АТС мқлшері улылыққа әсер етпеген жағдайда айыппұл төлемақыларының мөлшерін келесідей тағайындайды: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Ғ=30 % пайдаланушы кәсіпорындар үшін және 10 % АКҚ даярлаушы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зауыттар, авто жөндеуші зауыттар үшін (техникалық қызмет көрсету бекеттері).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Айыппұлдар сомасын төлеу көзі кәсіпорынның таза пайдасы болып табылады. Айыппұл төлемдері жергілікті табиғатты қорғау қорына аударылады.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>Кесте 4.1 – Атмосфераға шығарылатын ластаушы заттар үшін келтіру коэффиценттері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3119"/>
        <w:gridCol w:w="2693"/>
        <w:gridCol w:w="2942"/>
      </w:tblGrid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3119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Ластаушы заттар</w:t>
            </w:r>
          </w:p>
        </w:tc>
        <w:tc>
          <w:tcPr>
            <w:tcW w:w="2693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ШРК</w:t>
            </w:r>
            <w:r w:rsidRPr="008164DE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val="kk-KZ"/>
              </w:rPr>
              <w:t xml:space="preserve">орт.тәу. </w:t>
            </w: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мг/м</w:t>
            </w:r>
            <w:r w:rsidRPr="008164DE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  <w:lang w:val="kk-KZ"/>
              </w:rPr>
              <w:t>3</w:t>
            </w:r>
          </w:p>
        </w:tc>
        <w:tc>
          <w:tcPr>
            <w:tcW w:w="294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Келтіру коэффициенті шартты г/гК</w:t>
            </w:r>
          </w:p>
        </w:tc>
      </w:tr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3119" w:type="dxa"/>
          </w:tcPr>
          <w:p w:rsidR="008164DE" w:rsidRPr="008164DE" w:rsidRDefault="008164DE" w:rsidP="008164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Көміртек тотығы</w:t>
            </w:r>
          </w:p>
        </w:tc>
        <w:tc>
          <w:tcPr>
            <w:tcW w:w="2693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5,0</w:t>
            </w:r>
          </w:p>
        </w:tc>
        <w:tc>
          <w:tcPr>
            <w:tcW w:w="294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0,3</w:t>
            </w:r>
          </w:p>
        </w:tc>
      </w:tr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119" w:type="dxa"/>
          </w:tcPr>
          <w:p w:rsidR="008164DE" w:rsidRPr="008164DE" w:rsidRDefault="008164DE" w:rsidP="008164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Күкіртті ангидрид</w:t>
            </w:r>
          </w:p>
        </w:tc>
        <w:tc>
          <w:tcPr>
            <w:tcW w:w="2693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0,05</w:t>
            </w:r>
          </w:p>
        </w:tc>
        <w:tc>
          <w:tcPr>
            <w:tcW w:w="294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20</w:t>
            </w:r>
          </w:p>
        </w:tc>
      </w:tr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3119" w:type="dxa"/>
          </w:tcPr>
          <w:p w:rsidR="008164DE" w:rsidRPr="008164DE" w:rsidRDefault="008164DE" w:rsidP="008164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Азоттың тотығы</w:t>
            </w:r>
          </w:p>
        </w:tc>
        <w:tc>
          <w:tcPr>
            <w:tcW w:w="2693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0,04</w:t>
            </w:r>
          </w:p>
        </w:tc>
        <w:tc>
          <w:tcPr>
            <w:tcW w:w="294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25</w:t>
            </w:r>
          </w:p>
        </w:tc>
      </w:tr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3119" w:type="dxa"/>
          </w:tcPr>
          <w:p w:rsidR="008164DE" w:rsidRPr="008164DE" w:rsidRDefault="008164DE" w:rsidP="008164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Көмірсутектер</w:t>
            </w:r>
          </w:p>
        </w:tc>
        <w:tc>
          <w:tcPr>
            <w:tcW w:w="2693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1,5</w:t>
            </w:r>
          </w:p>
        </w:tc>
        <w:tc>
          <w:tcPr>
            <w:tcW w:w="294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0,1</w:t>
            </w:r>
          </w:p>
        </w:tc>
      </w:tr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3119" w:type="dxa"/>
          </w:tcPr>
          <w:p w:rsidR="008164DE" w:rsidRPr="008164DE" w:rsidRDefault="008164DE" w:rsidP="008164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Қатты өаттар</w:t>
            </w:r>
          </w:p>
        </w:tc>
        <w:tc>
          <w:tcPr>
            <w:tcW w:w="2693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0,05</w:t>
            </w:r>
          </w:p>
        </w:tc>
        <w:tc>
          <w:tcPr>
            <w:tcW w:w="294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20</w:t>
            </w:r>
          </w:p>
        </w:tc>
      </w:tr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3119" w:type="dxa"/>
          </w:tcPr>
          <w:p w:rsidR="008164DE" w:rsidRPr="008164DE" w:rsidRDefault="008164DE" w:rsidP="008164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Қорғасын</w:t>
            </w:r>
          </w:p>
        </w:tc>
        <w:tc>
          <w:tcPr>
            <w:tcW w:w="2693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0,0003</w:t>
            </w:r>
          </w:p>
        </w:tc>
        <w:tc>
          <w:tcPr>
            <w:tcW w:w="294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3333</w:t>
            </w:r>
          </w:p>
        </w:tc>
      </w:tr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3119" w:type="dxa"/>
          </w:tcPr>
          <w:p w:rsidR="008164DE" w:rsidRPr="008164DE" w:rsidRDefault="008164DE" w:rsidP="008164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Формальдегид</w:t>
            </w:r>
          </w:p>
        </w:tc>
        <w:tc>
          <w:tcPr>
            <w:tcW w:w="2693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0,003</w:t>
            </w:r>
          </w:p>
        </w:tc>
        <w:tc>
          <w:tcPr>
            <w:tcW w:w="294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333,3</w:t>
            </w:r>
          </w:p>
        </w:tc>
      </w:tr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3119" w:type="dxa"/>
          </w:tcPr>
          <w:p w:rsidR="008164DE" w:rsidRPr="008164DE" w:rsidRDefault="008164DE" w:rsidP="008164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Күкіртті көміртек</w:t>
            </w:r>
          </w:p>
        </w:tc>
        <w:tc>
          <w:tcPr>
            <w:tcW w:w="2693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0,005</w:t>
            </w:r>
          </w:p>
        </w:tc>
        <w:tc>
          <w:tcPr>
            <w:tcW w:w="294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200</w:t>
            </w:r>
          </w:p>
        </w:tc>
      </w:tr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3119" w:type="dxa"/>
          </w:tcPr>
          <w:p w:rsidR="008164DE" w:rsidRPr="008164DE" w:rsidRDefault="008164DE" w:rsidP="008164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Күкіртті сутек</w:t>
            </w:r>
          </w:p>
        </w:tc>
        <w:tc>
          <w:tcPr>
            <w:tcW w:w="2693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0,008</w:t>
            </w:r>
          </w:p>
        </w:tc>
        <w:tc>
          <w:tcPr>
            <w:tcW w:w="294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125</w:t>
            </w:r>
          </w:p>
        </w:tc>
      </w:tr>
    </w:tbl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Кесте 4.2 – Әртүрлі үлгідегі аумақтардың атмосфералық ауасының ластануының салыстырмалы қауіптілік көрсеткіштерінің мәні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3969"/>
        <w:gridCol w:w="4785"/>
      </w:tblGrid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3969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Аумақ үлгісі</w:t>
            </w:r>
          </w:p>
        </w:tc>
        <w:tc>
          <w:tcPr>
            <w:tcW w:w="4785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Салыстырмалы қауіптілік көрсеткіші</w:t>
            </w:r>
          </w:p>
        </w:tc>
      </w:tr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3969" w:type="dxa"/>
          </w:tcPr>
          <w:p w:rsidR="008164DE" w:rsidRPr="008164DE" w:rsidRDefault="008164DE" w:rsidP="008164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Шипажайлар, санаторийлер аймақтары</w:t>
            </w:r>
          </w:p>
        </w:tc>
        <w:tc>
          <w:tcPr>
            <w:tcW w:w="4785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1,3</w:t>
            </w:r>
          </w:p>
        </w:tc>
      </w:tr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969" w:type="dxa"/>
          </w:tcPr>
          <w:p w:rsidR="008164DE" w:rsidRPr="008164DE" w:rsidRDefault="008164DE" w:rsidP="008164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Тұрғыны 100 мың адамнан көп қалалар аумағы</w:t>
            </w:r>
          </w:p>
        </w:tc>
        <w:tc>
          <w:tcPr>
            <w:tcW w:w="4785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1,0</w:t>
            </w:r>
          </w:p>
        </w:tc>
      </w:tr>
      <w:tr w:rsidR="008164DE" w:rsidRPr="008164DE" w:rsidTr="00785F9A">
        <w:tc>
          <w:tcPr>
            <w:tcW w:w="817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3969" w:type="dxa"/>
          </w:tcPr>
          <w:p w:rsidR="008164DE" w:rsidRPr="008164DE" w:rsidRDefault="008164DE" w:rsidP="008164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Басқа аумақтар</w:t>
            </w:r>
          </w:p>
        </w:tc>
        <w:tc>
          <w:tcPr>
            <w:tcW w:w="4785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0,2</w:t>
            </w:r>
          </w:p>
        </w:tc>
      </w:tr>
    </w:tbl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4.2.1 АКҚ шығарулары үшін төлемдер сомасын есептеп шығару.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Жағар майға қор бөлінбейтін АКҚ ластаушы заттарының рұқсат етілген шығаруларының төлемдерін есептеп шығару. 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АКҚ иегерлерімен бөлшек саудада бір жылда сатып алынды: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1. 39273 мың л дизельді жағар май және 52876 мың л бензинді жағармай;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2. 13700 мың л бензин және 12600 мың л дизельді жағар май;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3. 12300 мың л бензин және 7650 мың л дизельді жағар май;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4. 64230 мың л бензин және 49850 мың л дизельді жағар май;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4.2.2 Айыппұл төлемақыларының шамасын есептеу.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Халқы 360 мың адам қалада орналасқан автокөліктік кәсіпорынның бір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жылда жағар май шығыны мынадай болды;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бензин 2000т., бензин 120, дизельді 170.</w:t>
      </w:r>
    </w:p>
    <w:p w:rsidR="008164DE" w:rsidRPr="008164DE" w:rsidRDefault="008164DE" w:rsidP="008164DE">
      <w:pPr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Келтірілген 40 дана ішінен стандарттарға сәйкес келмейтін АКҚ үлесі, 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Бензинді және дизельді үшін мыналарды құрды: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Сәйкесінше 19 және 17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Сәйкесінше 23 және 40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Сәйкесінше 17 және 42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Сәйкесінше 26 және 30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ab/>
        <w:t>Есеп беру мерзіміндегі таза пайда 5 млн.сом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4.2.3 4.2.2 тапсырманы шипажайлар аймақтарының аумақтары үшін қара.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4.2.4 Айыппұл төлемақысының шамасын улағышы бойынша қолданыстағы стандарттарға сәйкес келмейтін АКҚ пайдаланғаны ұшін, қызметтік пайдаланудағы автокөлігі бар кәсіпорындар үшін есептеу.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Балансында 5 автобус, 10 жүк машиналары және 4 жеңіл, кәсіпорындағы жұмысшылар саны (d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0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) - 1000 адам, берілген кәсіпорынның автопаркіне қызмет көрсететіндер (d) – 24 адам.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Есеп беру жылында кәсіпорынның таза пайдасы 1200 мың.сом. Автопарктерді тексеру барысында улағышы бойынша қолданыстағы стандарттарға сәйкес келмейді: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а) 1 автобус, 1 жеңіл автомобиль және 2 жүк машиналары,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ә) 2 автобус, 3 жеңіл автомобиль және 2 жүк машиналары,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а) 2 автобус, 2 жеңіл автомобиль және 5 жүк машиналары,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а) 1 автобус, 2 жеңіл автомобиль және 1 жүк машиналары.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Жетіспейтін берілгендерді өз бетімен қабылдап алу керек. Төлемдерді қолданыстағы курсқа сәйкес мемлекеттік валютаға қайта есептуе керек.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b/>
          <w:sz w:val="28"/>
          <w:szCs w:val="28"/>
          <w:lang w:val="kk-KZ"/>
        </w:rPr>
        <w:t>4.3 Есептеу мысалы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 xml:space="preserve">Қалада жағар майды қор бойынша алмайтын АКҚ иегерлерімен бөлшек саудада 17713,65 мың л бензин және сұйықтандырылған мұнай газы сатып алынды. АКҚ қозғалтқыштарының пайдаланылған газдарынан атмосфералық ауаның ластанғаны үшін нормативтік төлем – 1 литр бензинге 0,01 сом. 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1 Бұл жағдайда АКҚ иегерлерінен төлемдер мөлшері: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0,01*18713,65=187.13 мың.сом.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2 Моторлы жағар майға қор бөлінетін кәсіпорындардың АКҚ ластаушы заттарының рұқсат етілген шығаруларына төлемдер есебі.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500 мың адамы бар қалада орналасқан кәсіпорында жағар май шығыны жылына мынаны құрады: 750 т – бензин, 1125 т дизельді жағар май. Жүк машиналарының саны: бензиндік 50 дана, дизельдік 150. Автомоюильдердің ластаушы заттарының рұқсат етілген шығаруларына төлем нормативі 0,01 сом/л жағар май.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Берілген аймақта ластанудың салыстырмалы қауіптілік көрсеткіші r=1,0 бензиннің тығыздығы 0,74 кг/л, дизельді жағар майдыкі 0,825 кг/л.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АКҚ – нан жылына өндіріп алынатын төлемдер мөлшері: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Бензинмен жүретін автомобильдер шығаруларына: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(750:0,74)*0,01=10,14 мың.сом.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Дизельді жағар маймен жүретін автомомбильдер шығаруларына: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>(1125:0,825)*0,01=13,64 мың.сом.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10,14+13,64=23,8 мың.сом.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3 Көліктік кәсіпорын бойынша улағышы бойынша қолданыстағы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стандарттарға сәйкес келмейтін АКҚ пайдаланғаны үшін айыппұл төлемақысының шамасын есептеу.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Такси – моторлы паркінде автомобильдер саны 500 дана. Есептік мерзімдегі таза пайда 800 мың.сом. 150 автомобильді улағышқа тексеру барысында қолданыстағы стандартқа 33 автомобиль жауап бермейтіні анықталады.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Улағышқа стандарттар талаптарына сәйкес келмейтін автомобильдер пайызы мынаған тең: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S=(33*100)/150=25.3 % &lt; 30 %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Айыппұл мөлшері: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С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1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=(0,1*800*1,0*25,3)/100=20,2 мың.сом.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  <w:t>3-ші тапсырма шартына сай, бірақ стандарттарға сәйкес келмейтін автомобильдер  саны 52 автомобильге тең болса, онда:</w:t>
      </w:r>
    </w:p>
    <w:p w:rsidR="008164DE" w:rsidRPr="008164DE" w:rsidRDefault="008164DE" w:rsidP="008164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ab/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S=(52*100)/150=34,7 % яғни &gt; 30 %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Бұл жағдайда айыппұл мөлшері: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С</w:t>
      </w:r>
      <w:r w:rsidRPr="008164DE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2</w:t>
      </w:r>
      <w:r w:rsidRPr="008164DE">
        <w:rPr>
          <w:rFonts w:ascii="Times New Roman" w:eastAsia="Calibri" w:hAnsi="Times New Roman" w:cs="Times New Roman"/>
          <w:sz w:val="28"/>
          <w:szCs w:val="28"/>
        </w:rPr>
        <w:t>=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(0,1*800*34,7)/100+(0,1*800*(34,7-30))/100</w:t>
      </w:r>
      <w:r w:rsidRPr="008164DE">
        <w:rPr>
          <w:rFonts w:ascii="Times New Roman" w:eastAsia="Calibri" w:hAnsi="Times New Roman" w:cs="Times New Roman"/>
          <w:sz w:val="28"/>
          <w:szCs w:val="28"/>
        </w:rPr>
        <w:t>=</w:t>
      </w: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31 мың сом.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Кесте 4.3 Тапсырмалар нұсқалары </w:t>
      </w:r>
    </w:p>
    <w:p w:rsidR="008164DE" w:rsidRPr="008164DE" w:rsidRDefault="008164DE" w:rsidP="008164DE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8"/>
        <w:gridCol w:w="3782"/>
        <w:gridCol w:w="943"/>
        <w:gridCol w:w="3888"/>
      </w:tblGrid>
      <w:tr w:rsidR="008164DE" w:rsidRPr="008164DE" w:rsidTr="00785F9A">
        <w:tc>
          <w:tcPr>
            <w:tcW w:w="959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Нұсқа</w:t>
            </w:r>
          </w:p>
        </w:tc>
        <w:tc>
          <w:tcPr>
            <w:tcW w:w="3826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Тапсырма нөмері</w:t>
            </w:r>
          </w:p>
        </w:tc>
        <w:tc>
          <w:tcPr>
            <w:tcW w:w="85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Нұсқа</w:t>
            </w:r>
          </w:p>
        </w:tc>
        <w:tc>
          <w:tcPr>
            <w:tcW w:w="3934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Тапсырма нөмері</w:t>
            </w:r>
          </w:p>
        </w:tc>
      </w:tr>
      <w:tr w:rsidR="008164DE" w:rsidRPr="008164DE" w:rsidTr="00785F9A">
        <w:tc>
          <w:tcPr>
            <w:tcW w:w="959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3826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1(1) 2(1) 3(1) 4(1)</w:t>
            </w:r>
          </w:p>
        </w:tc>
        <w:tc>
          <w:tcPr>
            <w:tcW w:w="85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3934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1(2) 2(3) 3(4) 4(1)</w:t>
            </w:r>
          </w:p>
        </w:tc>
      </w:tr>
      <w:tr w:rsidR="008164DE" w:rsidRPr="008164DE" w:rsidTr="00785F9A">
        <w:tc>
          <w:tcPr>
            <w:tcW w:w="959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826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1(2) 2(2) 3(2) 4(2)</w:t>
            </w:r>
          </w:p>
        </w:tc>
        <w:tc>
          <w:tcPr>
            <w:tcW w:w="85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3934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1(3) 2(4) 3(1) 4(2)</w:t>
            </w:r>
          </w:p>
        </w:tc>
      </w:tr>
      <w:tr w:rsidR="008164DE" w:rsidRPr="008164DE" w:rsidTr="00785F9A">
        <w:tc>
          <w:tcPr>
            <w:tcW w:w="959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3826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1(3) 2(3) 3(3) 4(3)</w:t>
            </w:r>
          </w:p>
        </w:tc>
        <w:tc>
          <w:tcPr>
            <w:tcW w:w="85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3934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1(4) 2(1) 3(2) 4(3)</w:t>
            </w:r>
          </w:p>
        </w:tc>
      </w:tr>
      <w:tr w:rsidR="008164DE" w:rsidRPr="008164DE" w:rsidTr="00785F9A">
        <w:tc>
          <w:tcPr>
            <w:tcW w:w="959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3826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1(4) 2(4) 3(4) 4(4)</w:t>
            </w:r>
          </w:p>
        </w:tc>
        <w:tc>
          <w:tcPr>
            <w:tcW w:w="85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3934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1(1) 2(3) 3(1) 4(3)</w:t>
            </w:r>
          </w:p>
        </w:tc>
      </w:tr>
      <w:tr w:rsidR="008164DE" w:rsidRPr="008164DE" w:rsidTr="00785F9A">
        <w:tc>
          <w:tcPr>
            <w:tcW w:w="959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3826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1(1) 2(2) 3(3) 4(4)</w:t>
            </w:r>
          </w:p>
        </w:tc>
        <w:tc>
          <w:tcPr>
            <w:tcW w:w="852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3934" w:type="dxa"/>
          </w:tcPr>
          <w:p w:rsidR="008164DE" w:rsidRPr="008164DE" w:rsidRDefault="008164DE" w:rsidP="008164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8164DE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1(2) 2(4) 3(2) 4(4)</w:t>
            </w:r>
          </w:p>
        </w:tc>
      </w:tr>
    </w:tbl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4.4 Бақылау сұрақтары </w:t>
      </w:r>
    </w:p>
    <w:p w:rsidR="008164DE" w:rsidRPr="008164DE" w:rsidRDefault="008164DE" w:rsidP="008164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4.4.1 Автокөлік кәсіпорындарының қайсысына айыппұл жазалау шараларын қолданады?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>4.4.2 Автокөлік кәсіпорындарында айыппұл жазалау шараларының шамаларын есептеу?</w:t>
      </w:r>
    </w:p>
    <w:p w:rsidR="008164DE" w:rsidRPr="008164DE" w:rsidRDefault="008164DE" w:rsidP="00816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164DE">
        <w:rPr>
          <w:rFonts w:ascii="Times New Roman" w:eastAsia="Calibri" w:hAnsi="Times New Roman" w:cs="Times New Roman"/>
          <w:sz w:val="28"/>
          <w:szCs w:val="28"/>
          <w:lang w:val="kk-KZ"/>
        </w:rPr>
        <w:t>4.4.3 АКҚ иегерлерінен төлемдер мөлшері.</w:t>
      </w:r>
    </w:p>
    <w:p w:rsidR="008A177C" w:rsidRDefault="008A177C">
      <w:bookmarkStart w:id="0" w:name="_GoBack"/>
      <w:bookmarkEnd w:id="0"/>
    </w:p>
    <w:sectPr w:rsidR="008A17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745"/>
    <w:rsid w:val="00637745"/>
    <w:rsid w:val="008164DE"/>
    <w:rsid w:val="008A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1676</Words>
  <Characters>9556</Characters>
  <Application>Microsoft Office Word</Application>
  <DocSecurity>0</DocSecurity>
  <Lines>79</Lines>
  <Paragraphs>22</Paragraphs>
  <ScaleCrop>false</ScaleCrop>
  <Company>CtrlSoft</Company>
  <LinksUpToDate>false</LinksUpToDate>
  <CharactersWithSpaces>11210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2</cp:revision>
  <dcterms:created xsi:type="dcterms:W3CDTF">2019-04-01T07:52:00Z</dcterms:created>
  <dcterms:modified xsi:type="dcterms:W3CDTF">2019-04-01T07:52:00Z</dcterms:modified>
</cp:coreProperties>
</file>